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4A6" w:rsidRDefault="00D54766">
      <w:pPr>
        <w:ind w:right="284"/>
        <w:jc w:val="center"/>
        <w:rPr>
          <w:lang w:eastAsia="cs-CZ"/>
        </w:rPr>
      </w:pP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789681" cy="78298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789678" cy="7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A6" w:rsidRDefault="002904A6">
      <w:pPr>
        <w:ind w:right="284"/>
        <w:jc w:val="center"/>
      </w:pPr>
    </w:p>
    <w:p w:rsidR="002904A6" w:rsidRDefault="00D54766">
      <w:pPr>
        <w:ind w:right="284"/>
        <w:jc w:val="center"/>
        <w:rPr>
          <w:rFonts w:cs="Calibri"/>
          <w:color w:val="0D0D0D"/>
        </w:rPr>
      </w:pPr>
      <w:r>
        <w:rPr>
          <w:rFonts w:cs="Calibri"/>
          <w:color w:val="0D0D0D" w:themeColor="text1" w:themeTint="F2"/>
          <w:sz w:val="28"/>
        </w:rPr>
        <w:t xml:space="preserve">T I S K O V Á   Z P R Á V A </w:t>
      </w:r>
    </w:p>
    <w:p w:rsidR="002904A6" w:rsidRDefault="007D12E4">
      <w:pPr>
        <w:ind w:right="284"/>
        <w:jc w:val="center"/>
        <w:rPr>
          <w:rFonts w:cs="Calibri"/>
          <w:color w:val="0D0D0D"/>
        </w:rPr>
      </w:pPr>
      <w:r>
        <w:rPr>
          <w:rFonts w:cs="Calibri"/>
          <w:color w:val="0D0D0D" w:themeColor="text1" w:themeTint="F2"/>
          <w:sz w:val="28"/>
        </w:rPr>
        <w:t>7</w:t>
      </w:r>
      <w:r w:rsidR="00D54766">
        <w:rPr>
          <w:rFonts w:cs="Calibri"/>
          <w:color w:val="0D0D0D" w:themeColor="text1" w:themeTint="F2"/>
          <w:sz w:val="28"/>
        </w:rPr>
        <w:t xml:space="preserve">. </w:t>
      </w:r>
      <w:r>
        <w:rPr>
          <w:rFonts w:cs="Calibri"/>
          <w:color w:val="0D0D0D" w:themeColor="text1" w:themeTint="F2"/>
          <w:sz w:val="28"/>
        </w:rPr>
        <w:t>října</w:t>
      </w:r>
      <w:r w:rsidR="00D54766">
        <w:rPr>
          <w:rFonts w:cs="Calibri"/>
          <w:color w:val="0D0D0D" w:themeColor="text1" w:themeTint="F2"/>
          <w:sz w:val="28"/>
        </w:rPr>
        <w:t xml:space="preserve"> 2022</w:t>
      </w:r>
    </w:p>
    <w:p w:rsidR="002904A6" w:rsidRDefault="002904A6">
      <w:pPr>
        <w:ind w:left="-709" w:right="284"/>
        <w:jc w:val="center"/>
        <w:rPr>
          <w:rFonts w:cs="Calibri"/>
          <w:color w:val="0D0D0D"/>
        </w:rPr>
      </w:pPr>
    </w:p>
    <w:p w:rsidR="002904A6" w:rsidRDefault="007D12E4" w:rsidP="007D12E4">
      <w:pPr>
        <w:spacing w:after="0"/>
        <w:ind w:left="-709" w:right="284"/>
        <w:jc w:val="center"/>
        <w:rPr>
          <w:b/>
          <w:sz w:val="28"/>
        </w:rPr>
      </w:pPr>
      <w:r>
        <w:rPr>
          <w:b/>
          <w:sz w:val="28"/>
        </w:rPr>
        <w:t xml:space="preserve">BÁSNÍCI TICHA </w:t>
      </w:r>
    </w:p>
    <w:p w:rsidR="007D12E4" w:rsidRDefault="007D12E4">
      <w:pPr>
        <w:ind w:left="-709" w:right="284"/>
        <w:jc w:val="center"/>
        <w:rPr>
          <w:b/>
          <w:sz w:val="26"/>
        </w:rPr>
      </w:pPr>
      <w:r>
        <w:rPr>
          <w:b/>
          <w:sz w:val="28"/>
        </w:rPr>
        <w:t>PAVEL BEZDĚČKA A LUBOMÍR KERNDL</w:t>
      </w:r>
    </w:p>
    <w:p w:rsidR="002904A6" w:rsidRDefault="002904A6">
      <w:pPr>
        <w:spacing w:after="0" w:line="283" w:lineRule="atLeast"/>
        <w:ind w:left="-567" w:right="284"/>
        <w:jc w:val="both"/>
        <w:rPr>
          <w:b/>
        </w:rPr>
      </w:pPr>
    </w:p>
    <w:p w:rsidR="002904A6" w:rsidRDefault="00D54766">
      <w:pPr>
        <w:spacing w:after="0" w:line="283" w:lineRule="atLeast"/>
        <w:ind w:left="-567" w:right="284"/>
        <w:jc w:val="both"/>
        <w:rPr>
          <w:b/>
        </w:rPr>
      </w:pPr>
      <w:r>
        <w:rPr>
          <w:b/>
        </w:rPr>
        <w:t>Horácká galerie v Novém Městě na Moravě připravila v zámecké</w:t>
      </w:r>
      <w:r w:rsidR="007D12E4">
        <w:rPr>
          <w:b/>
        </w:rPr>
        <w:t>m</w:t>
      </w:r>
      <w:r>
        <w:rPr>
          <w:b/>
        </w:rPr>
        <w:t xml:space="preserve"> </w:t>
      </w:r>
      <w:r w:rsidR="007D12E4">
        <w:rPr>
          <w:b/>
        </w:rPr>
        <w:t>podkroví</w:t>
      </w:r>
      <w:r>
        <w:rPr>
          <w:b/>
        </w:rPr>
        <w:t xml:space="preserve"> výstavu</w:t>
      </w:r>
      <w:r w:rsidR="007D12E4">
        <w:rPr>
          <w:b/>
        </w:rPr>
        <w:t xml:space="preserve"> počítačové malby Pavla Bezděčky a dřevěných skulptur a automatických kreseb Lubomíra Kerndla.</w:t>
      </w:r>
      <w:r>
        <w:rPr>
          <w:b/>
        </w:rPr>
        <w:t xml:space="preserve"> Vernisá</w:t>
      </w:r>
      <w:r w:rsidR="007D12E4">
        <w:rPr>
          <w:b/>
        </w:rPr>
        <w:t>ž výstavy za přítomnosti obou autorů</w:t>
      </w:r>
      <w:r>
        <w:rPr>
          <w:b/>
        </w:rPr>
        <w:t xml:space="preserve"> se uskutečn</w:t>
      </w:r>
      <w:r w:rsidR="007D12E4">
        <w:rPr>
          <w:b/>
        </w:rPr>
        <w:t>ila</w:t>
      </w:r>
      <w:r>
        <w:rPr>
          <w:b/>
        </w:rPr>
        <w:t xml:space="preserve"> </w:t>
      </w:r>
      <w:r w:rsidR="007D12E4">
        <w:rPr>
          <w:b/>
        </w:rPr>
        <w:t>5</w:t>
      </w:r>
      <w:r>
        <w:rPr>
          <w:b/>
        </w:rPr>
        <w:t xml:space="preserve">. </w:t>
      </w:r>
      <w:r w:rsidR="007D12E4">
        <w:rPr>
          <w:b/>
        </w:rPr>
        <w:t>října a</w:t>
      </w:r>
      <w:r>
        <w:rPr>
          <w:b/>
        </w:rPr>
        <w:t xml:space="preserve"> výstava potrvá do </w:t>
      </w:r>
      <w:r w:rsidR="007D12E4">
        <w:rPr>
          <w:b/>
        </w:rPr>
        <w:t>27</w:t>
      </w:r>
      <w:r>
        <w:rPr>
          <w:b/>
        </w:rPr>
        <w:t>. listo</w:t>
      </w:r>
      <w:r>
        <w:rPr>
          <w:b/>
        </w:rPr>
        <w:t xml:space="preserve">padu. </w:t>
      </w:r>
    </w:p>
    <w:p w:rsidR="002904A6" w:rsidRDefault="002904A6">
      <w:pPr>
        <w:spacing w:after="0" w:line="283" w:lineRule="atLeast"/>
        <w:ind w:left="-567" w:right="284"/>
        <w:jc w:val="both"/>
        <w:rPr>
          <w:b/>
        </w:rPr>
      </w:pPr>
    </w:p>
    <w:p w:rsidR="00556BDD" w:rsidRDefault="00556BDD">
      <w:pPr>
        <w:ind w:left="-567" w:righ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="007D12E4">
        <w:rPr>
          <w:rFonts w:ascii="Calibri" w:eastAsia="Calibri" w:hAnsi="Calibri" w:cs="Calibri"/>
        </w:rPr>
        <w:t>utory spojuje nejen přátelství a surrealistický přístup k tvorbě. Oba autoři jsou členy Spolku výtvarných umělců Vysočiny. Oba se profesně věnují j</w:t>
      </w:r>
      <w:r>
        <w:rPr>
          <w:rFonts w:ascii="Calibri" w:eastAsia="Calibri" w:hAnsi="Calibri" w:cs="Calibri"/>
        </w:rPr>
        <w:t xml:space="preserve">iné činnosti, než té výtvarné. </w:t>
      </w:r>
      <w:r w:rsidR="007D12E4">
        <w:rPr>
          <w:rFonts w:ascii="Calibri" w:eastAsia="Calibri" w:hAnsi="Calibri" w:cs="Calibri"/>
        </w:rPr>
        <w:t xml:space="preserve">Pavel Bezděčka je zoologem jihlavského Muzea Vysočiny, Lubomír Kerndl vystudoval technickou kybernetiku na VUT v Brně a vybudoval a vedl vlastní reklamní agenturu v Třebíči. </w:t>
      </w:r>
      <w:r>
        <w:rPr>
          <w:rFonts w:ascii="Calibri" w:eastAsia="Calibri" w:hAnsi="Calibri" w:cs="Calibri"/>
        </w:rPr>
        <w:t xml:space="preserve">A oba autoři se v duchu surrealismu věnují celé škále uměleckých činností - </w:t>
      </w:r>
      <w:r w:rsidR="00E95ED6">
        <w:rPr>
          <w:rFonts w:ascii="Calibri" w:eastAsia="Calibri" w:hAnsi="Calibri" w:cs="Calibri"/>
        </w:rPr>
        <w:t>kromě</w:t>
      </w:r>
      <w:r>
        <w:rPr>
          <w:rFonts w:ascii="Calibri" w:eastAsia="Calibri" w:hAnsi="Calibri" w:cs="Calibri"/>
        </w:rPr>
        <w:t xml:space="preserve"> prezentované </w:t>
      </w:r>
      <w:r w:rsidR="00E95ED6">
        <w:rPr>
          <w:rFonts w:ascii="Calibri" w:eastAsia="Calibri" w:hAnsi="Calibri" w:cs="Calibri"/>
        </w:rPr>
        <w:t>části t</w:t>
      </w:r>
      <w:r>
        <w:rPr>
          <w:rFonts w:ascii="Calibri" w:eastAsia="Calibri" w:hAnsi="Calibri" w:cs="Calibri"/>
        </w:rPr>
        <w:t xml:space="preserve">vorby je to i fotografie, literatura či hudba. </w:t>
      </w:r>
    </w:p>
    <w:p w:rsidR="00E95ED6" w:rsidRDefault="00556BDD" w:rsidP="00E95ED6">
      <w:pPr>
        <w:spacing w:after="0"/>
        <w:ind w:left="-567" w:right="284"/>
        <w:jc w:val="both"/>
        <w:rPr>
          <w:rFonts w:ascii="Calibri" w:eastAsia="Calibri" w:hAnsi="Calibri" w:cs="Calibri"/>
        </w:rPr>
      </w:pPr>
      <w:r w:rsidRPr="00556BDD">
        <w:rPr>
          <w:rFonts w:ascii="Calibri" w:eastAsia="Calibri" w:hAnsi="Calibri" w:cs="Calibri"/>
        </w:rPr>
        <w:t xml:space="preserve">Autoři reflektují obdobná, někdy zcela totožná témata, odlišnou formou. Zatímco Pavel Bezděčka upřednostňuje počítačovou grafiku, Lubomír Kerndl se věnuje tvorbě dřevěných skulptur, drobným automatickým kresbám a malbě </w:t>
      </w:r>
      <w:r w:rsidR="00E95ED6">
        <w:rPr>
          <w:rFonts w:ascii="Calibri" w:eastAsia="Calibri" w:hAnsi="Calibri" w:cs="Calibri"/>
        </w:rPr>
        <w:t>(ta</w:t>
      </w:r>
      <w:r w:rsidRPr="00556BDD">
        <w:rPr>
          <w:rFonts w:ascii="Calibri" w:eastAsia="Calibri" w:hAnsi="Calibri" w:cs="Calibri"/>
        </w:rPr>
        <w:t xml:space="preserve"> však na této výstavě není zahrnuta</w:t>
      </w:r>
      <w:r w:rsidR="00E95ED6">
        <w:rPr>
          <w:rFonts w:ascii="Calibri" w:eastAsia="Calibri" w:hAnsi="Calibri" w:cs="Calibri"/>
        </w:rPr>
        <w:t>)</w:t>
      </w:r>
      <w:r w:rsidRPr="00556BD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</w:t>
      </w:r>
    </w:p>
    <w:p w:rsidR="007D12E4" w:rsidRDefault="00556BDD" w:rsidP="00E95ED6">
      <w:pPr>
        <w:spacing w:after="0"/>
        <w:ind w:left="-567" w:righ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 výstavě s titulem Básníci ticha je prezentováno 31 obrazů - digitálních maleb - Pavla Bezděčky, 3 dřevěné skulptury a 22 drobných automatických kreseb Lubomíra Kerndla.</w:t>
      </w:r>
    </w:p>
    <w:p w:rsidR="00E95ED6" w:rsidRDefault="00E95ED6" w:rsidP="00E95ED6">
      <w:pPr>
        <w:spacing w:after="0"/>
        <w:ind w:left="-567" w:right="284"/>
        <w:jc w:val="both"/>
        <w:rPr>
          <w:rFonts w:ascii="Calibri" w:eastAsia="Calibri" w:hAnsi="Calibri" w:cs="Calibri"/>
        </w:rPr>
      </w:pPr>
    </w:p>
    <w:p w:rsidR="00556BDD" w:rsidRDefault="00556BDD" w:rsidP="00556BDD">
      <w:pPr>
        <w:spacing w:after="0"/>
        <w:ind w:left="-567" w:right="284"/>
        <w:jc w:val="both"/>
        <w:rPr>
          <w:rFonts w:ascii="Calibri" w:eastAsia="Calibri" w:hAnsi="Calibri" w:cs="Calibri"/>
        </w:rPr>
      </w:pPr>
      <w:r w:rsidRPr="00556BDD">
        <w:rPr>
          <w:rFonts w:ascii="Calibri" w:eastAsia="Calibri" w:hAnsi="Calibri" w:cs="Calibri"/>
        </w:rPr>
        <w:t>Titul Básníci ticha nese výstava z prostého důvodu. Oba autoři tvoří nejraději v</w:t>
      </w:r>
      <w:r w:rsidR="00E95ED6">
        <w:rPr>
          <w:rFonts w:ascii="Calibri" w:eastAsia="Calibri" w:hAnsi="Calibri" w:cs="Calibri"/>
        </w:rPr>
        <w:t> tichu.</w:t>
      </w:r>
      <w:bookmarkStart w:id="0" w:name="_GoBack"/>
      <w:bookmarkEnd w:id="0"/>
    </w:p>
    <w:p w:rsidR="00556BDD" w:rsidRDefault="00556BDD">
      <w:pPr>
        <w:ind w:left="-567" w:right="284"/>
        <w:jc w:val="both"/>
        <w:rPr>
          <w:rFonts w:ascii="Calibri" w:eastAsia="Calibri" w:hAnsi="Calibri" w:cs="Calibri"/>
        </w:rPr>
      </w:pPr>
    </w:p>
    <w:p w:rsidR="007D12E4" w:rsidRDefault="007D12E4">
      <w:pPr>
        <w:ind w:left="-567" w:right="284"/>
        <w:jc w:val="both"/>
        <w:rPr>
          <w:rFonts w:ascii="Calibri" w:eastAsia="Calibri" w:hAnsi="Calibri" w:cs="Calibri"/>
        </w:rPr>
      </w:pPr>
    </w:p>
    <w:p w:rsidR="002904A6" w:rsidRDefault="00D54766">
      <w:pPr>
        <w:ind w:left="-567" w:righ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2904A6" w:rsidRDefault="00D54766">
      <w:pPr>
        <w:ind w:left="-567" w:righ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Kontakt: </w:t>
      </w:r>
    </w:p>
    <w:p w:rsidR="002904A6" w:rsidRDefault="00D54766">
      <w:pPr>
        <w:ind w:left="-567" w:righ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Mgr. Petra Gregorová, kurátorka výstavy, mobil: 704 616 266, email: gregorova@horackagalerie.cz</w:t>
      </w:r>
    </w:p>
    <w:p w:rsidR="002904A6" w:rsidRDefault="002904A6">
      <w:pPr>
        <w:ind w:left="-567" w:right="284"/>
        <w:jc w:val="both"/>
        <w:rPr>
          <w:rFonts w:ascii="Calibri" w:eastAsia="Calibri" w:hAnsi="Calibri" w:cs="Calibri"/>
        </w:rPr>
      </w:pPr>
    </w:p>
    <w:p w:rsidR="002904A6" w:rsidRDefault="00D54766">
      <w:pPr>
        <w:ind w:right="284"/>
        <w:jc w:val="center"/>
        <w:rPr>
          <w:color w:val="4472C4" w:themeColor="accent5"/>
        </w:rPr>
      </w:pPr>
      <w:hyperlink r:id="rId7" w:tooltip="http://www.horackagalerie.cz" w:history="1">
        <w:r>
          <w:rPr>
            <w:rStyle w:val="Hypertextovodkaz"/>
            <w:b/>
            <w:color w:val="4472C4" w:themeColor="accent5"/>
            <w:sz w:val="20"/>
            <w:u w:val="none"/>
          </w:rPr>
          <w:t>www.horackagalerie.cz</w:t>
        </w:r>
      </w:hyperlink>
      <w:r>
        <w:rPr>
          <w:b/>
          <w:color w:val="4472C4" w:themeColor="accent5"/>
          <w:sz w:val="20"/>
        </w:rPr>
        <w:t xml:space="preserve"> / https://www.facebook.com/horackagalerie.nmnm/</w:t>
      </w:r>
    </w:p>
    <w:sectPr w:rsidR="002904A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766" w:rsidRDefault="00D54766">
      <w:pPr>
        <w:spacing w:after="0" w:line="240" w:lineRule="auto"/>
      </w:pPr>
      <w:r>
        <w:separator/>
      </w:r>
    </w:p>
  </w:endnote>
  <w:endnote w:type="continuationSeparator" w:id="0">
    <w:p w:rsidR="00D54766" w:rsidRDefault="00D54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766" w:rsidRDefault="00D54766">
      <w:pPr>
        <w:spacing w:after="0" w:line="240" w:lineRule="auto"/>
      </w:pPr>
      <w:r>
        <w:separator/>
      </w:r>
    </w:p>
  </w:footnote>
  <w:footnote w:type="continuationSeparator" w:id="0">
    <w:p w:rsidR="00D54766" w:rsidRDefault="00D547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A6"/>
    <w:rsid w:val="002904A6"/>
    <w:rsid w:val="00556BDD"/>
    <w:rsid w:val="007D12E4"/>
    <w:rsid w:val="00D54766"/>
    <w:rsid w:val="00E9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DD88"/>
  <w15:docId w15:val="{0E24AED3-4490-4AB2-B4DB-920FA84D8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0"/>
      <w:outlineLvl w:val="0"/>
    </w:pPr>
    <w:rPr>
      <w:b/>
      <w:bCs/>
      <w:color w:val="000000" w:themeColor="text1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200" w:after="0"/>
      <w:outlineLvl w:val="1"/>
    </w:pPr>
    <w:rPr>
      <w:b/>
      <w:bCs/>
      <w:color w:val="000000" w:themeColor="text1"/>
      <w:sz w:val="40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200" w:after="0"/>
      <w:outlineLvl w:val="2"/>
    </w:pPr>
    <w:rPr>
      <w:b/>
      <w:bCs/>
      <w:i/>
      <w:iCs/>
      <w:color w:val="000000" w:themeColor="text1"/>
      <w:sz w:val="36"/>
      <w:szCs w:val="3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200" w:after="0"/>
      <w:outlineLvl w:val="3"/>
    </w:pPr>
    <w:rPr>
      <w:color w:val="232323"/>
      <w:sz w:val="32"/>
      <w:szCs w:val="32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200" w:after="0"/>
      <w:outlineLvl w:val="4"/>
    </w:pPr>
    <w:rPr>
      <w:b/>
      <w:bCs/>
      <w:color w:val="444444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200" w:after="0"/>
      <w:outlineLvl w:val="5"/>
    </w:pPr>
    <w:rPr>
      <w:i/>
      <w:iCs/>
      <w:color w:val="232323"/>
      <w:sz w:val="28"/>
      <w:szCs w:val="28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200" w:after="0"/>
      <w:outlineLvl w:val="6"/>
    </w:pPr>
    <w:rPr>
      <w:b/>
      <w:bCs/>
      <w:color w:val="606060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200" w:after="0"/>
      <w:outlineLvl w:val="7"/>
    </w:pPr>
    <w:rPr>
      <w:color w:val="444444"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200" w:after="0"/>
      <w:outlineLvl w:val="8"/>
    </w:pPr>
    <w:rPr>
      <w:i/>
      <w:iCs/>
      <w:color w:val="444444"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NzevChar">
    <w:name w:val="Název Char"/>
    <w:link w:val="Nzev"/>
    <w:uiPriority w:val="10"/>
    <w:rPr>
      <w:sz w:val="48"/>
      <w:szCs w:val="48"/>
    </w:rPr>
  </w:style>
  <w:style w:type="character" w:customStyle="1" w:styleId="PodnadpisChar">
    <w:name w:val="Podnadpis Char"/>
    <w:link w:val="Podnadpis"/>
    <w:uiPriority w:val="11"/>
    <w:rPr>
      <w:sz w:val="24"/>
      <w:szCs w:val="24"/>
    </w:rPr>
  </w:style>
  <w:style w:type="character" w:customStyle="1" w:styleId="CittChar">
    <w:name w:val="Citát Char"/>
    <w:link w:val="Citt"/>
    <w:uiPriority w:val="29"/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character" w:customStyle="1" w:styleId="ZhlavChar">
    <w:name w:val="Záhlaví Char"/>
    <w:link w:val="Zhlav"/>
    <w:uiPriority w:val="99"/>
  </w:style>
  <w:style w:type="character" w:customStyle="1" w:styleId="FooterChar">
    <w:name w:val="Footer Char"/>
    <w:uiPriority w:val="99"/>
  </w:style>
  <w:style w:type="paragraph" w:styleId="Titulek">
    <w:name w:val="caption"/>
    <w:basedOn w:val="Normln"/>
    <w:next w:val="Normln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ZpatChar">
    <w:name w:val="Zápatí Char"/>
    <w:link w:val="Zpat"/>
    <w:uiPriority w:val="99"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uiPriority w:val="99"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Zpat">
    <w:name w:val="footer"/>
    <w:basedOn w:val="Normln"/>
    <w:link w:val="ZpatChar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Bezmezer">
    <w:name w:val="No Spacing"/>
    <w:basedOn w:val="Normln"/>
    <w:uiPriority w:val="1"/>
    <w:qFormat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pPr>
      <w:ind w:left="4536"/>
      <w:jc w:val="both"/>
    </w:pPr>
    <w:rPr>
      <w:i/>
      <w:iCs/>
      <w:color w:val="373737"/>
      <w:sz w:val="18"/>
      <w:szCs w:val="18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numPr>
        <w:ilvl w:val="1"/>
      </w:numPr>
      <w:spacing w:line="240" w:lineRule="auto"/>
      <w:outlineLvl w:val="0"/>
    </w:pPr>
    <w:rPr>
      <w:i/>
      <w:iCs/>
      <w:color w:val="444444"/>
      <w:sz w:val="52"/>
      <w:szCs w:val="52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EEEEEE" w:fill="EEEEEE"/>
      <w:ind w:left="567" w:right="567"/>
      <w:jc w:val="both"/>
    </w:pPr>
    <w:rPr>
      <w:b/>
      <w:bCs/>
      <w:i/>
      <w:iCs/>
      <w:color w:val="464646"/>
      <w:sz w:val="19"/>
      <w:szCs w:val="19"/>
    </w:rPr>
  </w:style>
  <w:style w:type="paragraph" w:styleId="Nzev">
    <w:name w:val="Title"/>
    <w:basedOn w:val="Normln"/>
    <w:next w:val="Normln"/>
    <w:link w:val="NzevChar"/>
    <w:uiPriority w:val="10"/>
    <w:qFormat/>
    <w:pPr>
      <w:pBdr>
        <w:bottom w:val="single" w:sz="24" w:space="0" w:color="000000" w:themeColor="text1"/>
      </w:pBdr>
      <w:spacing w:before="300" w:after="80" w:line="240" w:lineRule="auto"/>
      <w:contextualSpacing/>
      <w:outlineLvl w:val="0"/>
    </w:pPr>
    <w:rPr>
      <w:b/>
      <w:bCs/>
      <w:color w:val="000000" w:themeColor="text1"/>
      <w:sz w:val="72"/>
      <w:szCs w:val="72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horackagalerie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240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Petra Mrkosová</cp:lastModifiedBy>
  <cp:revision>4</cp:revision>
  <dcterms:created xsi:type="dcterms:W3CDTF">2022-10-07T12:17:00Z</dcterms:created>
  <dcterms:modified xsi:type="dcterms:W3CDTF">2022-10-07T12:36:00Z</dcterms:modified>
</cp:coreProperties>
</file>